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8147B3" w14:textId="3E8F8593" w:rsidR="00046DA4" w:rsidRPr="00046DA4" w:rsidRDefault="00046DA4" w:rsidP="00046DA4">
      <w:pPr>
        <w:shd w:val="clear" w:color="auto" w:fill="FFFFFF"/>
        <w:spacing w:after="0" w:line="240" w:lineRule="auto"/>
        <w:outlineLvl w:val="0"/>
        <w:rPr>
          <w:rFonts w:ascii="Lato" w:eastAsia="Times New Roman" w:hAnsi="Lato" w:cs="Times New Roman"/>
          <w:color w:val="CC3300"/>
          <w:kern w:val="36"/>
          <w:sz w:val="36"/>
          <w:szCs w:val="36"/>
          <w:lang w:eastAsia="fr-BE"/>
          <w14:ligatures w14:val="none"/>
        </w:rPr>
      </w:pPr>
      <w:r w:rsidRPr="00046DA4">
        <w:rPr>
          <w:rFonts w:ascii="Lato" w:eastAsia="Times New Roman" w:hAnsi="Lato" w:cs="Times New Roman"/>
          <w:color w:val="CC3300"/>
          <w:kern w:val="36"/>
          <w:sz w:val="36"/>
          <w:szCs w:val="36"/>
          <w:lang w:eastAsia="fr-BE"/>
          <w14:ligatures w14:val="none"/>
        </w:rPr>
        <w:t>Aluminium</w:t>
      </w:r>
      <w:r>
        <w:rPr>
          <w:rFonts w:ascii="Lato" w:eastAsia="Times New Roman" w:hAnsi="Lato" w:cs="Times New Roman"/>
          <w:color w:val="CC3300"/>
          <w:kern w:val="36"/>
          <w:sz w:val="36"/>
          <w:szCs w:val="36"/>
          <w:lang w:eastAsia="fr-BE"/>
          <w14:ligatures w14:val="none"/>
        </w:rPr>
        <w:t>,</w:t>
      </w:r>
      <w:r w:rsidRPr="00046DA4">
        <w:rPr>
          <w:rFonts w:ascii="Lato" w:eastAsia="Times New Roman" w:hAnsi="Lato" w:cs="Times New Roman"/>
          <w:color w:val="CC3300"/>
          <w:kern w:val="36"/>
          <w:sz w:val="36"/>
          <w:szCs w:val="36"/>
          <w:lang w:eastAsia="fr-BE"/>
          <w14:ligatures w14:val="none"/>
        </w:rPr>
        <w:t xml:space="preserve"> les consommateurs européens reportent la signature de leurs contrats</w:t>
      </w:r>
    </w:p>
    <w:p w14:paraId="0A59D523" w14:textId="77777777" w:rsidR="00046DA4" w:rsidRDefault="00046DA4" w:rsidP="00046DA4">
      <w:pPr>
        <w:shd w:val="clear" w:color="auto" w:fill="FFFFFF"/>
        <w:spacing w:before="75" w:after="75" w:line="240" w:lineRule="auto"/>
        <w:jc w:val="both"/>
        <w:rPr>
          <w:rFonts w:ascii="Lato" w:eastAsia="Times New Roman" w:hAnsi="Lato" w:cs="Times New Roman"/>
          <w:color w:val="3E001F"/>
          <w:kern w:val="0"/>
          <w:sz w:val="30"/>
          <w:szCs w:val="30"/>
          <w:lang w:eastAsia="fr-BE"/>
          <w14:ligatures w14:val="none"/>
        </w:rPr>
      </w:pPr>
    </w:p>
    <w:p w14:paraId="43DD22E2" w14:textId="3713B6D5" w:rsidR="00046DA4" w:rsidRPr="00046DA4" w:rsidRDefault="00046DA4" w:rsidP="00046DA4">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046DA4">
        <w:rPr>
          <w:rFonts w:ascii="Lato" w:eastAsia="Times New Roman" w:hAnsi="Lato" w:cs="Times New Roman"/>
          <w:b/>
          <w:bCs/>
          <w:color w:val="000000"/>
          <w:kern w:val="0"/>
          <w:sz w:val="23"/>
          <w:szCs w:val="23"/>
          <w:lang w:eastAsia="fr-BE"/>
          <w14:ligatures w14:val="none"/>
        </w:rPr>
        <w:t>Les usines consommatrices européennes tardent à commander des volumes pour 2024 auprès des fonderies, celles-ci ayant peu de visibilité sur la demande en produits finis dans la région.</w:t>
      </w:r>
    </w:p>
    <w:p w14:paraId="15901B29" w14:textId="77777777" w:rsidR="00046DA4" w:rsidRPr="00046DA4" w:rsidRDefault="00046DA4" w:rsidP="00046DA4">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046DA4">
        <w:rPr>
          <w:rFonts w:ascii="Lato" w:eastAsia="Times New Roman" w:hAnsi="Lato" w:cs="Times New Roman"/>
          <w:color w:val="000000"/>
          <w:kern w:val="0"/>
          <w:sz w:val="23"/>
          <w:szCs w:val="23"/>
          <w:lang w:eastAsia="fr-BE"/>
          <w14:ligatures w14:val="none"/>
        </w:rPr>
        <w:t> </w:t>
      </w:r>
    </w:p>
    <w:p w14:paraId="546EB9F4" w14:textId="77777777" w:rsidR="00046DA4" w:rsidRPr="00046DA4" w:rsidRDefault="00046DA4" w:rsidP="00046DA4">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046DA4">
        <w:rPr>
          <w:rFonts w:ascii="Lato" w:eastAsia="Times New Roman" w:hAnsi="Lato" w:cs="Times New Roman"/>
          <w:color w:val="000000"/>
          <w:kern w:val="0"/>
          <w:sz w:val="23"/>
          <w:szCs w:val="23"/>
          <w:lang w:eastAsia="fr-BE"/>
          <w14:ligatures w14:val="none"/>
        </w:rPr>
        <w:t>La saison haute bat son plein pour les vendeurs (producteurs et traders) et les acheteurs qui, traditionnellement à cette période de l’année, nouent des contrats d’approvisionnement pour l’année suivante. « </w:t>
      </w:r>
      <w:r w:rsidRPr="00046DA4">
        <w:rPr>
          <w:rFonts w:ascii="Lato" w:eastAsia="Times New Roman" w:hAnsi="Lato" w:cs="Times New Roman"/>
          <w:i/>
          <w:iCs/>
          <w:color w:val="000000"/>
          <w:kern w:val="0"/>
          <w:sz w:val="23"/>
          <w:szCs w:val="23"/>
          <w:lang w:eastAsia="fr-BE"/>
          <w14:ligatures w14:val="none"/>
        </w:rPr>
        <w:t>Les échanges se font de gré à gré, des opérations de déstockage ont toujours lieu tout au long de la chaîne d’approvisionnement et les acteurs du marché sont réticents à s’engager sur des volumes </w:t>
      </w:r>
      <w:r w:rsidRPr="00046DA4">
        <w:rPr>
          <w:rFonts w:ascii="Lato" w:eastAsia="Times New Roman" w:hAnsi="Lato" w:cs="Times New Roman"/>
          <w:color w:val="000000"/>
          <w:kern w:val="0"/>
          <w:sz w:val="23"/>
          <w:szCs w:val="23"/>
          <w:lang w:eastAsia="fr-BE"/>
          <w14:ligatures w14:val="none"/>
        </w:rPr>
        <w:t>», résume une source, officiant pour un producteur, en marge de la conférence sur l’aluminium, à Barcelone.</w:t>
      </w:r>
    </w:p>
    <w:p w14:paraId="36E0991D" w14:textId="77777777" w:rsidR="00046DA4" w:rsidRPr="00046DA4" w:rsidRDefault="00046DA4" w:rsidP="00046DA4">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046DA4">
        <w:rPr>
          <w:rFonts w:ascii="Lato" w:eastAsia="Times New Roman" w:hAnsi="Lato" w:cs="Times New Roman"/>
          <w:color w:val="000000"/>
          <w:kern w:val="0"/>
          <w:sz w:val="23"/>
          <w:szCs w:val="23"/>
          <w:lang w:eastAsia="fr-BE"/>
          <w14:ligatures w14:val="none"/>
        </w:rPr>
        <w:t xml:space="preserve">Beaucoup de consommateurs attendent novembre pour communiquer sur les tonnages définitifs, au regard de la morosité du contexte économique. La production industrielle a reculé plus que prévu en juillet en Allemagne, première économie du continent. La croissance a aussi décliné plus rapidement </w:t>
      </w:r>
      <w:proofErr w:type="gramStart"/>
      <w:r w:rsidRPr="00046DA4">
        <w:rPr>
          <w:rFonts w:ascii="Lato" w:eastAsia="Times New Roman" w:hAnsi="Lato" w:cs="Times New Roman"/>
          <w:color w:val="000000"/>
          <w:kern w:val="0"/>
          <w:sz w:val="23"/>
          <w:szCs w:val="23"/>
          <w:lang w:eastAsia="fr-BE"/>
          <w14:ligatures w14:val="none"/>
        </w:rPr>
        <w:t>qu’escompté</w:t>
      </w:r>
      <w:proofErr w:type="gramEnd"/>
      <w:r w:rsidRPr="00046DA4">
        <w:rPr>
          <w:rFonts w:ascii="Lato" w:eastAsia="Times New Roman" w:hAnsi="Lato" w:cs="Times New Roman"/>
          <w:color w:val="000000"/>
          <w:kern w:val="0"/>
          <w:sz w:val="23"/>
          <w:szCs w:val="23"/>
          <w:lang w:eastAsia="fr-BE"/>
          <w14:ligatures w14:val="none"/>
        </w:rPr>
        <w:t xml:space="preserve"> en août au sein de l’Union européenne. Des livraisons d’aluminium à destination de l’Europe, prévues en juin et juillet, ont été reportées à août et septembre. David Wilson, analyste pour BNP Paribas, estime que la contraction des primes sur les billettes d’aluminium est un bon indicateur de l’état de la demande des consommateurs finaux. « </w:t>
      </w:r>
      <w:r w:rsidRPr="00046DA4">
        <w:rPr>
          <w:rFonts w:ascii="Lato" w:eastAsia="Times New Roman" w:hAnsi="Lato" w:cs="Times New Roman"/>
          <w:i/>
          <w:iCs/>
          <w:color w:val="000000"/>
          <w:kern w:val="0"/>
          <w:sz w:val="23"/>
          <w:szCs w:val="23"/>
          <w:lang w:eastAsia="fr-BE"/>
          <w14:ligatures w14:val="none"/>
        </w:rPr>
        <w:t xml:space="preserve">Elles sont au plus bas. Difficile de voir une </w:t>
      </w:r>
      <w:proofErr w:type="gramStart"/>
      <w:r w:rsidRPr="00046DA4">
        <w:rPr>
          <w:rFonts w:ascii="Lato" w:eastAsia="Times New Roman" w:hAnsi="Lato" w:cs="Times New Roman"/>
          <w:i/>
          <w:iCs/>
          <w:color w:val="000000"/>
          <w:kern w:val="0"/>
          <w:sz w:val="23"/>
          <w:szCs w:val="23"/>
          <w:lang w:eastAsia="fr-BE"/>
          <w14:ligatures w14:val="none"/>
        </w:rPr>
        <w:t>quelconque</w:t>
      </w:r>
      <w:proofErr w:type="gramEnd"/>
      <w:r w:rsidRPr="00046DA4">
        <w:rPr>
          <w:rFonts w:ascii="Lato" w:eastAsia="Times New Roman" w:hAnsi="Lato" w:cs="Times New Roman"/>
          <w:i/>
          <w:iCs/>
          <w:color w:val="000000"/>
          <w:kern w:val="0"/>
          <w:sz w:val="23"/>
          <w:szCs w:val="23"/>
          <w:lang w:eastAsia="fr-BE"/>
          <w14:ligatures w14:val="none"/>
        </w:rPr>
        <w:t xml:space="preserve"> amélioration de la demande européenne à court terme. Cette dernière s’est contractée à travers tout le continent et dans tous les secteurs finaux </w:t>
      </w:r>
      <w:r w:rsidRPr="00046DA4">
        <w:rPr>
          <w:rFonts w:ascii="Lato" w:eastAsia="Times New Roman" w:hAnsi="Lato" w:cs="Times New Roman"/>
          <w:color w:val="000000"/>
          <w:kern w:val="0"/>
          <w:sz w:val="23"/>
          <w:szCs w:val="23"/>
          <w:lang w:eastAsia="fr-BE"/>
          <w14:ligatures w14:val="none"/>
        </w:rPr>
        <w:t>», souligne-t-il.</w:t>
      </w:r>
    </w:p>
    <w:p w14:paraId="615EAE59" w14:textId="77777777" w:rsidR="00046DA4" w:rsidRPr="00046DA4" w:rsidRDefault="00046DA4" w:rsidP="00046DA4">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proofErr w:type="spellStart"/>
      <w:r w:rsidRPr="00046DA4">
        <w:rPr>
          <w:rFonts w:ascii="Lato" w:eastAsia="Times New Roman" w:hAnsi="Lato" w:cs="Times New Roman"/>
          <w:b/>
          <w:bCs/>
          <w:color w:val="000000"/>
          <w:kern w:val="0"/>
          <w:sz w:val="23"/>
          <w:szCs w:val="23"/>
          <w:lang w:eastAsia="fr-BE"/>
          <w14:ligatures w14:val="none"/>
        </w:rPr>
        <w:t>Alumil</w:t>
      </w:r>
      <w:proofErr w:type="spellEnd"/>
      <w:r w:rsidRPr="00046DA4">
        <w:rPr>
          <w:rFonts w:ascii="Lato" w:eastAsia="Times New Roman" w:hAnsi="Lato" w:cs="Times New Roman"/>
          <w:color w:val="000000"/>
          <w:kern w:val="0"/>
          <w:sz w:val="23"/>
          <w:szCs w:val="23"/>
          <w:lang w:eastAsia="fr-BE"/>
          <w14:ligatures w14:val="none"/>
        </w:rPr>
        <w:t>, fabricant grec d’huisseries en aluminium et d’autres produits, a été informé par ses clients que les volumes de commandes pourraient décliner de 25 à 30% au premier semestre 2024. « </w:t>
      </w:r>
      <w:r w:rsidRPr="00046DA4">
        <w:rPr>
          <w:rFonts w:ascii="Lato" w:eastAsia="Times New Roman" w:hAnsi="Lato" w:cs="Times New Roman"/>
          <w:i/>
          <w:iCs/>
          <w:color w:val="000000"/>
          <w:kern w:val="0"/>
          <w:sz w:val="23"/>
          <w:szCs w:val="23"/>
          <w:lang w:eastAsia="fr-BE"/>
          <w14:ligatures w14:val="none"/>
        </w:rPr>
        <w:t>Le marché est clairement entre les mains des acheteurs. Si je fais une offre, j’ai une réponse dans la minute. Et pour le prix, ils nous disent : ne vous inquiétez pas, nous nous arrangerons </w:t>
      </w:r>
      <w:r w:rsidRPr="00046DA4">
        <w:rPr>
          <w:rFonts w:ascii="Lato" w:eastAsia="Times New Roman" w:hAnsi="Lato" w:cs="Times New Roman"/>
          <w:color w:val="000000"/>
          <w:kern w:val="0"/>
          <w:sz w:val="23"/>
          <w:szCs w:val="23"/>
          <w:lang w:eastAsia="fr-BE"/>
          <w14:ligatures w14:val="none"/>
        </w:rPr>
        <w:t xml:space="preserve">», rapporte </w:t>
      </w:r>
      <w:proofErr w:type="spellStart"/>
      <w:r w:rsidRPr="00046DA4">
        <w:rPr>
          <w:rFonts w:ascii="Lato" w:eastAsia="Times New Roman" w:hAnsi="Lato" w:cs="Times New Roman"/>
          <w:color w:val="000000"/>
          <w:kern w:val="0"/>
          <w:sz w:val="23"/>
          <w:szCs w:val="23"/>
          <w:lang w:eastAsia="fr-BE"/>
          <w14:ligatures w14:val="none"/>
        </w:rPr>
        <w:t>Sotiris</w:t>
      </w:r>
      <w:proofErr w:type="spellEnd"/>
      <w:r w:rsidRPr="00046DA4">
        <w:rPr>
          <w:rFonts w:ascii="Lato" w:eastAsia="Times New Roman" w:hAnsi="Lato" w:cs="Times New Roman"/>
          <w:color w:val="000000"/>
          <w:kern w:val="0"/>
          <w:sz w:val="23"/>
          <w:szCs w:val="23"/>
          <w:lang w:eastAsia="fr-BE"/>
          <w14:ligatures w14:val="none"/>
        </w:rPr>
        <w:t xml:space="preserve"> </w:t>
      </w:r>
      <w:proofErr w:type="spellStart"/>
      <w:r w:rsidRPr="00046DA4">
        <w:rPr>
          <w:rFonts w:ascii="Lato" w:eastAsia="Times New Roman" w:hAnsi="Lato" w:cs="Times New Roman"/>
          <w:color w:val="000000"/>
          <w:kern w:val="0"/>
          <w:sz w:val="23"/>
          <w:szCs w:val="23"/>
          <w:lang w:eastAsia="fr-BE"/>
          <w14:ligatures w14:val="none"/>
        </w:rPr>
        <w:t>Voulgarakis</w:t>
      </w:r>
      <w:proofErr w:type="spellEnd"/>
      <w:r w:rsidRPr="00046DA4">
        <w:rPr>
          <w:rFonts w:ascii="Lato" w:eastAsia="Times New Roman" w:hAnsi="Lato" w:cs="Times New Roman"/>
          <w:color w:val="000000"/>
          <w:kern w:val="0"/>
          <w:sz w:val="23"/>
          <w:szCs w:val="23"/>
          <w:lang w:eastAsia="fr-BE"/>
          <w14:ligatures w14:val="none"/>
        </w:rPr>
        <w:t>, directeur des achats pour </w:t>
      </w:r>
      <w:proofErr w:type="spellStart"/>
      <w:r w:rsidRPr="00046DA4">
        <w:rPr>
          <w:rFonts w:ascii="Lato" w:eastAsia="Times New Roman" w:hAnsi="Lato" w:cs="Times New Roman"/>
          <w:b/>
          <w:bCs/>
          <w:color w:val="000000"/>
          <w:kern w:val="0"/>
          <w:sz w:val="23"/>
          <w:szCs w:val="23"/>
          <w:lang w:eastAsia="fr-BE"/>
          <w14:ligatures w14:val="none"/>
        </w:rPr>
        <w:t>Alumil</w:t>
      </w:r>
      <w:proofErr w:type="spellEnd"/>
      <w:r w:rsidRPr="00046DA4">
        <w:rPr>
          <w:rFonts w:ascii="Lato" w:eastAsia="Times New Roman" w:hAnsi="Lato" w:cs="Times New Roman"/>
          <w:color w:val="000000"/>
          <w:kern w:val="0"/>
          <w:sz w:val="23"/>
          <w:szCs w:val="23"/>
          <w:lang w:eastAsia="fr-BE"/>
          <w14:ligatures w14:val="none"/>
        </w:rPr>
        <w:t>.</w:t>
      </w:r>
    </w:p>
    <w:p w14:paraId="08536ABF" w14:textId="77777777" w:rsidR="00046DA4" w:rsidRPr="00046DA4" w:rsidRDefault="00046DA4" w:rsidP="00046DA4">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046DA4">
        <w:rPr>
          <w:rFonts w:ascii="Lato" w:eastAsia="Times New Roman" w:hAnsi="Lato" w:cs="Times New Roman"/>
          <w:color w:val="000000"/>
          <w:kern w:val="0"/>
          <w:sz w:val="23"/>
          <w:szCs w:val="23"/>
          <w:lang w:eastAsia="fr-BE"/>
          <w14:ligatures w14:val="none"/>
        </w:rPr>
        <w:t>Les autres régions du globe se portent mieux. La demande aux Etats-Unis est stable dans l’aérospatiale et l’automobile, même si elle a un peu molli dans l’industrie et l’emballage. La consommation en Chine fait mieux que prévu, contrairement aux prévisions, pointe un trader suisse, en lien avec des entreprises chinoises. « </w:t>
      </w:r>
      <w:r w:rsidRPr="00046DA4">
        <w:rPr>
          <w:rFonts w:ascii="Lato" w:eastAsia="Times New Roman" w:hAnsi="Lato" w:cs="Times New Roman"/>
          <w:i/>
          <w:iCs/>
          <w:color w:val="000000"/>
          <w:kern w:val="0"/>
          <w:sz w:val="23"/>
          <w:szCs w:val="23"/>
          <w:lang w:eastAsia="fr-BE"/>
          <w14:ligatures w14:val="none"/>
        </w:rPr>
        <w:t>La demande est extrêmement forte en Chine, elle permet de contrebalancer les reculs enregistrés ailleurs dans le monde </w:t>
      </w:r>
      <w:r w:rsidRPr="00046DA4">
        <w:rPr>
          <w:rFonts w:ascii="Lato" w:eastAsia="Times New Roman" w:hAnsi="Lato" w:cs="Times New Roman"/>
          <w:color w:val="000000"/>
          <w:kern w:val="0"/>
          <w:sz w:val="23"/>
          <w:szCs w:val="23"/>
          <w:lang w:eastAsia="fr-BE"/>
          <w14:ligatures w14:val="none"/>
        </w:rPr>
        <w:t>», estime le trader, invoquant l’essor du secteur des véhicules électriques. Et quant au secteur de l’immobilier, en proie à des difficultés, le gouvernement aide les entreprises à rattraper les retards, ce qui soutient la demande en métaux, suggère le trader.</w:t>
      </w:r>
    </w:p>
    <w:p w14:paraId="4C079FD7" w14:textId="77777777" w:rsidR="00287462" w:rsidRDefault="00287462"/>
    <w:sectPr w:rsidR="002874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DA4"/>
    <w:rsid w:val="00046DA4"/>
    <w:rsid w:val="00287462"/>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A77E8"/>
  <w15:chartTrackingRefBased/>
  <w15:docId w15:val="{3B289C00-04C8-41EA-A1A0-D7A1EFE1F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3970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431</Words>
  <Characters>2371</Characters>
  <Application>Microsoft Office Word</Application>
  <DocSecurity>0</DocSecurity>
  <Lines>19</Lines>
  <Paragraphs>5</Paragraphs>
  <ScaleCrop>false</ScaleCrop>
  <Company/>
  <LinksUpToDate>false</LinksUpToDate>
  <CharactersWithSpaces>2797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Klinck</dc:creator>
  <cp:keywords/>
  <dc:description/>
  <cp:lastModifiedBy>Sebastien Klinck</cp:lastModifiedBy>
  <cp:revision>1</cp:revision>
  <dcterms:created xsi:type="dcterms:W3CDTF">2023-09-19T06:08:00Z</dcterms:created>
  <dcterms:modified xsi:type="dcterms:W3CDTF">2023-09-19T06:09:00Z</dcterms:modified>
</cp:coreProperties>
</file>